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E2" w:rsidRPr="001E0BE2" w:rsidRDefault="001E0BE2" w:rsidP="001E0BE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E0BE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При расчете лимита доходов ИП на УСН должен учитывать доходы от участия в договоре простого товарищества</w:t>
      </w:r>
    </w:p>
    <w:p w:rsidR="001E0BE2" w:rsidRPr="001E0BE2" w:rsidRDefault="001E0BE2" w:rsidP="001E0BE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Доходы, полученные индивидуальным предпринимателем в рамках договора простого товарищества, учитываются при расчете лимита доходов, дающего право оставаться на </w:t>
      </w:r>
      <w:hyperlink r:id="rId4" w:tgtFrame="_blank" w:history="1">
        <w:r w:rsidRPr="001E0BE2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упрощенной системе налогообложения</w:t>
        </w:r>
      </w:hyperlink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. Об этом сообщили специалисты Минфина России в письме </w:t>
      </w:r>
      <w:hyperlink r:id="rId5" w:tgtFrame="_blank" w:history="1">
        <w:r w:rsidRPr="001E0BE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19.04.17 № 03-11-11/23463</w:t>
        </w:r>
      </w:hyperlink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0BE2" w:rsidRPr="001E0BE2" w:rsidRDefault="001E0BE2" w:rsidP="001E0BE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Чиновники напоминают, что «</w:t>
      </w:r>
      <w:proofErr w:type="spellStart"/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упрощенщики</w:t>
      </w:r>
      <w:proofErr w:type="spellEnd"/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» могут лишиться права на применение УСН, если по итогам отчетного или налогового периода их доходы превысят 150 млн. рублей. Данное правило установлено пунктом 4 </w:t>
      </w:r>
      <w:hyperlink r:id="rId6" w:anchor="h9535" w:tgtFrame="_blank" w:history="1">
        <w:r w:rsidRPr="001E0BE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346.13</w:t>
        </w:r>
      </w:hyperlink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</w:t>
      </w:r>
    </w:p>
    <w:p w:rsidR="001E0BE2" w:rsidRPr="001E0BE2" w:rsidRDefault="001E0BE2" w:rsidP="001E0BE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При определении доходов «</w:t>
      </w:r>
      <w:proofErr w:type="spellStart"/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упрощенщики</w:t>
      </w:r>
      <w:proofErr w:type="spellEnd"/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» руководствуются положениями пунктов 1 и 2 </w:t>
      </w:r>
      <w:hyperlink r:id="rId7" w:anchor="h6686" w:tgtFrame="_blank" w:history="1">
        <w:r w:rsidRPr="001E0BE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248</w:t>
        </w:r>
      </w:hyperlink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НК РФ. Согласно данным нормам, к доходам налогоплательщика относятся доходы от реализации товаров (работ, услуг) и имущественных прав, а также </w:t>
      </w:r>
      <w:proofErr w:type="spellStart"/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внереализационные</w:t>
      </w:r>
      <w:proofErr w:type="spellEnd"/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доходы. При этом в состав </w:t>
      </w:r>
      <w:proofErr w:type="spellStart"/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внереализационных</w:t>
      </w:r>
      <w:proofErr w:type="spellEnd"/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доходов, помимо прочего, включается доход, распределяемый в пользу налогоплательщика при его участии в простом товариществе (п. 9 </w:t>
      </w:r>
      <w:hyperlink r:id="rId8" w:anchor="h6693" w:tgtFrame="_blank" w:history="1">
        <w:r w:rsidRPr="001E0BE2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ст. 250</w:t>
        </w:r>
      </w:hyperlink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</w:t>
      </w:r>
    </w:p>
    <w:p w:rsidR="001E0BE2" w:rsidRPr="001E0BE2" w:rsidRDefault="001E0BE2" w:rsidP="001E0BE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0BE2">
        <w:rPr>
          <w:rFonts w:ascii="Times New Roman" w:eastAsia="Times New Roman" w:hAnsi="Times New Roman" w:cs="Times New Roman"/>
          <w:color w:val="333333"/>
          <w:sz w:val="24"/>
          <w:szCs w:val="24"/>
        </w:rPr>
        <w:t>На этом основании в Минине делают следующий вывод. При расчете лимита доходов, дающего право на сохранение УСН, предприниматели обязаны учитывать доход, полученный в рамках участия в договоре простого товарищества.</w:t>
      </w:r>
    </w:p>
    <w:p w:rsidR="00F97648" w:rsidRDefault="00F97648"/>
    <w:sectPr w:rsidR="00F9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BE2"/>
    <w:rsid w:val="001E0BE2"/>
    <w:rsid w:val="00F9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0B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233&amp;promocode=0957" TargetMode="External"/><Relationship Id="rId5" Type="http://schemas.openxmlformats.org/officeDocument/2006/relationships/hyperlink" Target="https://www.buhonline.ru/Files/Modules/Publication/12279/%d0%9f%d0%b8%d1%81%d1%8c%d0%bc%d0%be%20%d0%9c%d0%b8%d0%bd%d1%84%d0%b8%d0%bd%d0%b0.doc?t=14948389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uhonline.ru/pub/beginner/2010/9/37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2017-05-26T06:06:00Z</dcterms:created>
  <dcterms:modified xsi:type="dcterms:W3CDTF">2017-05-26T06:06:00Z</dcterms:modified>
</cp:coreProperties>
</file>